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B0" w:rsidRDefault="004D75B0" w:rsidP="004D75B0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Вариант 9</w:t>
      </w:r>
    </w:p>
    <w:p w:rsidR="004D75B0" w:rsidRDefault="004D75B0" w:rsidP="004D75B0">
      <w:pPr>
        <w:tabs>
          <w:tab w:val="left" w:pos="4005"/>
        </w:tabs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Город: Великий Устюг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</w:p>
    <w:p w:rsidR="004D75B0" w:rsidRDefault="004D75B0" w:rsidP="004D75B0">
      <w:pPr>
        <w:tabs>
          <w:tab w:val="left" w:pos="4005"/>
        </w:tabs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Вариант геологии: 9</w:t>
      </w:r>
    </w:p>
    <w:p w:rsidR="004D75B0" w:rsidRPr="004D75B0" w:rsidRDefault="004D75B0" w:rsidP="004D75B0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Вариант конструкции: 3</w:t>
      </w:r>
    </w:p>
    <w:p w:rsidR="004D75B0" w:rsidRPr="00943314" w:rsidRDefault="004D75B0" w:rsidP="004D75B0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Вариант третий</w:t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. Залегание слоёв наклонное. Под рабочим имеется слабый подстилающий слой. Длина здания не позволяет разместить фундаменты на рабочем слое так, чтобы между подошвой фундамента и кровлей слабого подстилающего слоя обеспечивалось расстояние необходимое для удовлетворения проверки давления на слабый слой. Опереть фундамент одной части здания на рабочий слой, другой на слабый подстилающий слой нельзя. Это приведёт к недопустимой неравномерности осадок. Но, так как залегание рабочего слоя наклонное, закладывать фундамент на нем можно уступами на разную глубину от горизонтальной планировочной отметки DL</w:t>
      </w:r>
      <w:hyperlink r:id="rId5" w:tgtFrame="_top" w:tooltip="2.2. Привязка сооружения к инженерно-геологическому разрезу" w:history="1">
        <w:r w:rsidRPr="00943314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*</w:t>
        </w:r>
      </w:hyperlink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увеличивающуюся по направлению падения пласта, то есть делать ступенчатое </w:t>
      </w:r>
      <w:proofErr w:type="spellStart"/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опирание</w:t>
      </w:r>
      <w:proofErr w:type="spellEnd"/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фундаментов. При этом необходимо соблюдать примерно одинаковое расстояние от подошвы фундаментов до более слабого подстилающего слоя с тем, чтобы в последующих расчётах могла удовлетвориться проверка допустимости давления, передающегося на слабый слой. Высота уступов между ступенями фундамента обычно принимается равной высоте стенового блока – 0,6 м.</w:t>
      </w:r>
    </w:p>
    <w:p w:rsidR="004D75B0" w:rsidRPr="00943314" w:rsidRDefault="004D75B0" w:rsidP="004D75B0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относительно небольшом наклоне слоёв грунта расстояние между уступами ленточных и краями отдельных фундаментов будет достаточно большим, что не представляет опасности. Но если по инженерно-геологическим условиям или конструктивным особенностям здания это расстояние окажется небольшим, то необходимо проверить устойчивость грунта под вышележащими ступенями ленточного фундамента или отдельными фундаментами, заложенными на разной глубине по формуле:</w:t>
      </w:r>
    </w:p>
    <w:tbl>
      <w:tblPr>
        <w:tblW w:w="1267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890"/>
        <w:gridCol w:w="9003"/>
        <w:gridCol w:w="1782"/>
      </w:tblGrid>
      <w:tr w:rsidR="004D75B0" w:rsidRPr="00943314" w:rsidTr="0073605C">
        <w:trPr>
          <w:tblCellSpacing w:w="0" w:type="dxa"/>
          <w:jc w:val="center"/>
        </w:trPr>
        <w:tc>
          <w:tcPr>
            <w:tcW w:w="1890" w:type="dxa"/>
            <w:vAlign w:val="center"/>
            <w:hideMark/>
          </w:tcPr>
          <w:p w:rsidR="004D75B0" w:rsidRPr="00943314" w:rsidRDefault="004D75B0" w:rsidP="0073605C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75B0" w:rsidRPr="00943314" w:rsidRDefault="004D75B0" w:rsidP="0073605C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57300" cy="514350"/>
                  <wp:effectExtent l="0" t="0" r="0" b="0"/>
                  <wp:docPr id="14" name="Рисунок 14" descr="http://www.do.mgsu.ru/COURSES/course1214/files/HtmlStuff/10clip_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do.mgsu.ru/COURSES/course1214/files/HtmlStuff/10clip_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1782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4D75B0" w:rsidRPr="00943314" w:rsidRDefault="004D75B0" w:rsidP="0073605C">
            <w:pPr>
              <w:spacing w:after="0" w:line="4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(2.5)</w:t>
            </w:r>
          </w:p>
        </w:tc>
      </w:tr>
    </w:tbl>
    <w:p w:rsidR="004D75B0" w:rsidRPr="00943314" w:rsidRDefault="004D75B0" w:rsidP="004D75B0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где Δ</w:t>
      </w:r>
      <w:r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 – высота уступа; </w:t>
      </w:r>
      <w:r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длина ступени (расстояние между соседними уступами ленточных или краями отдельных фундаментов); </w:t>
      </w:r>
      <w:proofErr w:type="spellStart"/>
      <w:proofErr w:type="gramStart"/>
      <w:r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spellEnd"/>
      <w:proofErr w:type="gramEnd"/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 – среднее давление под верхним фундаментом; </w:t>
      </w:r>
      <w:r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φ</w:t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 – расчётное значение угла внутреннего трения грунта, град.; </w:t>
      </w:r>
      <w:r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 – удельное сцепление, кПа. Поэтому, производя привязку, следует учитывать влияние Δ</w:t>
      </w:r>
      <w:r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выполнение </w:t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условия (2.5). Такую проверку необходимо делать также в случае, когда наружные стены здания опираются на ленточные фундаменты, а внутренние – на ряд колонн, фундаменты которых обычно заглублены ниже ленточных.</w:t>
      </w:r>
    </w:p>
    <w:p w:rsidR="004D75B0" w:rsidRPr="00943314" w:rsidRDefault="004D75B0" w:rsidP="004D75B0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необходимости искусственного улучшения основания для </w:t>
      </w:r>
      <w:proofErr w:type="spellStart"/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опирания</w:t>
      </w:r>
      <w:proofErr w:type="spellEnd"/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фундамента мелкого заложения, привязка должна быть произведена так, чтобы при минимальной толщине “висячей” закрепляемой зоны или песчаной подушки обеспечивалась проверка допустимости давления на слабый подстилающий слой (</w:t>
      </w:r>
      <w:r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Пример 14)</w:t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75B0" w:rsidRPr="00943314" w:rsidRDefault="004D75B0" w:rsidP="004D75B0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варианта свайного фундамента привязка позволяет определить расстояние от подошвы ростверка до прочного слоя грунта, пригодного для погружения в него нижних концов свай и назначить ориентировочную длину свай.</w:t>
      </w:r>
    </w:p>
    <w:p w:rsidR="004D75B0" w:rsidRDefault="004D75B0" w:rsidP="004D75B0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Без привязки нельзя определить расстояние от фундаментной конструкции до уровня подземных вод и решить вопрос о том, какая конкретно защита от них необходима в процессе строительства и эксплуатации здания.</w:t>
      </w:r>
    </w:p>
    <w:p w:rsidR="00E47028" w:rsidRDefault="00E47028" w:rsidP="004D75B0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196B" w:rsidRPr="005D7874" w:rsidRDefault="00E47028" w:rsidP="008F196B">
      <w:pPr>
        <w:pStyle w:val="a5"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78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Определение глубины заложения фундамента:</w:t>
      </w:r>
    </w:p>
    <w:p w:rsidR="00E47028" w:rsidRPr="008F196B" w:rsidRDefault="00E47028" w:rsidP="008F196B">
      <w:pPr>
        <w:pStyle w:val="a5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9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Приведённые рассуждения по определению глубины заложения фундамента </w:t>
      </w:r>
      <w:proofErr w:type="spellStart"/>
      <w:r w:rsidRPr="008F19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proofErr w:type="spellEnd"/>
      <w:r w:rsidRPr="008F19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8F196B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конструктивных особенностей здания и конструкции опорных элементов фундаментов можно выразить</w:t>
      </w:r>
      <w:proofErr w:type="gramEnd"/>
      <w:r w:rsidRPr="008F1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виде:</w:t>
      </w:r>
    </w:p>
    <w:p w:rsidR="00E47028" w:rsidRPr="00E47028" w:rsidRDefault="00E47028" w:rsidP="00E47028">
      <w:pPr>
        <w:pStyle w:val="a5"/>
        <w:spacing w:after="0" w:line="400" w:lineRule="atLeast"/>
        <w:ind w:left="9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eastAsia="Times New Roman"/>
          <w:noProof/>
        </w:rPr>
        <w:drawing>
          <wp:inline distT="0" distB="0" distL="0" distR="0">
            <wp:extent cx="1495425" cy="257175"/>
            <wp:effectExtent l="0" t="0" r="9525" b="9525"/>
            <wp:docPr id="25" name="Рисунок 25" descr="http://www.do.mgsu.ru/COURSES/course1214/files/HtmlStuff/14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do.mgsu.ru/COURSES/course1214/files/HtmlStuff/14clip_image0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02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315FF5" w:rsidRPr="00943314" w:rsidRDefault="00E47028" w:rsidP="00315FF5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028">
        <w:rPr>
          <w:rFonts w:ascii="Times New Roman" w:eastAsia="Times New Roman" w:hAnsi="Times New Roman" w:cs="Times New Roman"/>
          <w:color w:val="000000"/>
          <w:sz w:val="28"/>
          <w:szCs w:val="28"/>
        </w:rPr>
        <w:t>где, кроме обозначенных выше </w:t>
      </w:r>
      <w:proofErr w:type="spellStart"/>
      <w:r w:rsidRPr="00E470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 w:rsidRPr="00E47028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cf</w:t>
      </w:r>
      <w:proofErr w:type="spellEnd"/>
      <w:r w:rsidRPr="00E47028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proofErr w:type="spellStart"/>
      <w:r w:rsidRPr="00E470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 w:rsidRPr="00E47028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s</w:t>
      </w:r>
      <w:proofErr w:type="spellEnd"/>
      <w:r w:rsidRPr="00E4702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15FF5" w:rsidRPr="00315FF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315FF5">
        <w:rPr>
          <w:rFonts w:ascii="Times New Roman" w:eastAsia="Times New Roman" w:hAnsi="Times New Roman" w:cs="Times New Roman"/>
          <w:color w:val="000000"/>
          <w:sz w:val="28"/>
          <w:szCs w:val="28"/>
        </w:rPr>
        <w:t>толщина</w:t>
      </w:r>
      <w:r w:rsidR="00315FF5"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пола подвала </w:t>
      </w:r>
      <w:proofErr w:type="spellStart"/>
      <w:r w:rsidR="00315FF5"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 w:rsidR="00315FF5" w:rsidRPr="00943314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cf</w:t>
      </w:r>
      <w:proofErr w:type="spellEnd"/>
      <w:r w:rsidR="00315FF5"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  (обычно 0,2…0,15 м)</w:t>
      </w:r>
      <w:r w:rsidR="00315FF5">
        <w:rPr>
          <w:rFonts w:ascii="Times New Roman" w:eastAsia="Times New Roman" w:hAnsi="Times New Roman" w:cs="Times New Roman"/>
          <w:color w:val="000000"/>
          <w:sz w:val="28"/>
          <w:szCs w:val="28"/>
        </w:rPr>
        <w:t>; Ми</w:t>
      </w:r>
      <w:r w:rsidR="00315FF5"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нимальное заглубление подошвы ленточного фундамента от низа пола подвала </w:t>
      </w:r>
      <w:proofErr w:type="spellStart"/>
      <w:r w:rsidR="00315FF5"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 w:rsidR="00315FF5" w:rsidRPr="00943314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s</w:t>
      </w:r>
      <w:proofErr w:type="spellEnd"/>
      <w:r w:rsidR="00315FF5" w:rsidRPr="00943314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 </w:t>
      </w:r>
      <w:r w:rsidR="00315FF5"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= </w:t>
      </w:r>
      <w:proofErr w:type="spellStart"/>
      <w:r w:rsidR="00315FF5"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proofErr w:type="spellEnd"/>
      <w:r w:rsidR="00315FF5"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 составляет 0,5 м (</w:t>
      </w:r>
      <w:r w:rsidR="00315FF5"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рис. III.1.</w:t>
      </w:r>
      <w:proofErr w:type="gramStart"/>
      <w:r w:rsidR="00315FF5"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Б(</w:t>
      </w:r>
      <w:proofErr w:type="gramEnd"/>
      <w:r w:rsidR="00315FF5"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г)</w:t>
      </w:r>
      <w:r w:rsidR="00315FF5"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47028" w:rsidRPr="00E47028" w:rsidRDefault="00E47028" w:rsidP="00E47028">
      <w:pPr>
        <w:pStyle w:val="a5"/>
        <w:spacing w:after="0" w:line="42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470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 w:rsidRPr="00E47028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n</w:t>
      </w:r>
      <w:proofErr w:type="spellEnd"/>
      <w:r w:rsidRPr="00E47028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 </w:t>
      </w:r>
      <w:r w:rsidRPr="00E47028">
        <w:rPr>
          <w:rFonts w:ascii="Times New Roman" w:eastAsia="Times New Roman" w:hAnsi="Times New Roman" w:cs="Times New Roman"/>
          <w:color w:val="000000"/>
          <w:sz w:val="28"/>
          <w:szCs w:val="28"/>
        </w:rPr>
        <w:t>– разность отметок пола первого этажа (±0,000) и пола подвала (высота подвала);</w:t>
      </w:r>
      <w:r w:rsidRPr="00E470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470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 w:rsidRPr="00E47028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n</w:t>
      </w:r>
      <w:proofErr w:type="spellEnd"/>
      <w:r w:rsidRPr="00E47028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 </w:t>
      </w:r>
      <w:r w:rsidRPr="00E47028">
        <w:rPr>
          <w:rFonts w:ascii="Times New Roman" w:eastAsia="Times New Roman" w:hAnsi="Times New Roman" w:cs="Times New Roman"/>
          <w:i/>
          <w:iCs/>
          <w:color w:val="000000"/>
        </w:rPr>
        <w:t>= 114,6</w:t>
      </w:r>
    </w:p>
    <w:p w:rsidR="00E47028" w:rsidRPr="00E47028" w:rsidRDefault="00E47028" w:rsidP="00E47028">
      <w:pPr>
        <w:pStyle w:val="a5"/>
        <w:spacing w:after="0" w:line="42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470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proofErr w:type="gramEnd"/>
      <w:r w:rsidRPr="00E47028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ц</w:t>
      </w:r>
      <w:r w:rsidRPr="00E47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высота цоколя: разность отметок ±0,000 и поверхности планировки </w:t>
      </w:r>
      <w:r w:rsidRPr="00E470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118,5-117</w:t>
      </w:r>
      <w:r w:rsidRPr="00E47028">
        <w:rPr>
          <w:rFonts w:ascii="Times New Roman" w:eastAsia="Times New Roman" w:hAnsi="Times New Roman" w:cs="Times New Roman"/>
          <w:color w:val="000000"/>
          <w:sz w:val="28"/>
          <w:szCs w:val="28"/>
        </w:rPr>
        <w:t>,5 = 1.00</w:t>
      </w:r>
    </w:p>
    <w:p w:rsidR="00E47028" w:rsidRPr="00E47028" w:rsidRDefault="00E47028" w:rsidP="00E47028">
      <w:pPr>
        <w:pStyle w:val="a5"/>
        <w:spacing w:after="0" w:line="42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DL = 117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,5</w:t>
      </w:r>
      <w:proofErr w:type="gramEnd"/>
    </w:p>
    <w:p w:rsidR="00E47028" w:rsidRDefault="00315FF5" w:rsidP="00E47028">
      <w:pPr>
        <w:pStyle w:val="a5"/>
        <w:spacing w:after="0" w:line="42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315FF5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1495425" cy="257175"/>
            <wp:effectExtent l="0" t="0" r="9525" b="9525"/>
            <wp:docPr id="1" name="Рисунок 25" descr="http://www.do.mgsu.ru/COURSES/course1214/files/HtmlStuff/14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do.mgsu.ru/COURSES/course1214/files/HtmlStuff/14clip_image0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, = 114,6 – 1,00 + 0,17 + 0,5 = 114,27 м.</w:t>
      </w:r>
    </w:p>
    <w:p w:rsidR="005D7874" w:rsidRPr="00943314" w:rsidRDefault="005D7874" w:rsidP="005D7874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Расчётная глубина сезонного промерзания грунта </w:t>
      </w:r>
      <w:proofErr w:type="spellStart"/>
      <w:r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943314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f</w:t>
      </w:r>
      <w:proofErr w:type="spellEnd"/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, м определяется по формуле:</w:t>
      </w:r>
    </w:p>
    <w:tbl>
      <w:tblPr>
        <w:tblW w:w="1267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890"/>
        <w:gridCol w:w="9003"/>
        <w:gridCol w:w="1782"/>
      </w:tblGrid>
      <w:tr w:rsidR="005D7874" w:rsidRPr="00943314" w:rsidTr="0073605C">
        <w:trPr>
          <w:tblCellSpacing w:w="0" w:type="dxa"/>
          <w:jc w:val="center"/>
        </w:trPr>
        <w:tc>
          <w:tcPr>
            <w:tcW w:w="1890" w:type="dxa"/>
            <w:vAlign w:val="center"/>
            <w:hideMark/>
          </w:tcPr>
          <w:p w:rsidR="005D7874" w:rsidRPr="00943314" w:rsidRDefault="005D7874" w:rsidP="0073605C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7874" w:rsidRPr="00943314" w:rsidRDefault="005D7874" w:rsidP="0073605C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904875" cy="257175"/>
                  <wp:effectExtent l="0" t="0" r="9525" b="9525"/>
                  <wp:docPr id="24" name="Рисунок 24" descr="http://www.do.mgsu.ru/COURSES/course1214/files/HtmlStuff/15clip_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do.mgsu.ru/COURSES/course1214/files/HtmlStuff/15clip_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0,6 * 1,638 = 0,983.</w:t>
            </w:r>
          </w:p>
        </w:tc>
        <w:tc>
          <w:tcPr>
            <w:tcW w:w="1782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D7874" w:rsidRPr="00943314" w:rsidRDefault="005D7874" w:rsidP="0073605C">
            <w:pPr>
              <w:spacing w:after="0" w:line="4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(3.1)</w:t>
            </w:r>
          </w:p>
        </w:tc>
      </w:tr>
    </w:tbl>
    <w:p w:rsidR="005D7874" w:rsidRPr="00943314" w:rsidRDefault="005D7874" w:rsidP="005D7874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где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57175" cy="257175"/>
            <wp:effectExtent l="0" t="0" r="9525" b="9525"/>
            <wp:docPr id="23" name="Рисунок 23" descr="http://www.do.mgsu.ru/COURSES/course1214/files/HtmlStuff/10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do.mgsu.ru/COURSES/course1214/files/HtmlStuff/10clip_image00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 – нормативная глубина промерзания;</w:t>
      </w:r>
    </w:p>
    <w:p w:rsidR="005D7874" w:rsidRPr="00943314" w:rsidRDefault="005D7874" w:rsidP="005D7874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22" name="Рисунок 22" descr="http://www.do.mgsu.ru/COURSES/course1214/files/HtmlStuff/7clip_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do.mgsu.ru/COURSES/course1214/files/HtmlStuff/7clip_image00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 – коэффициент, учитывающий влияние теплового режима здания. Для домов с подвалом или техническим подпольем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0550" cy="238125"/>
            <wp:effectExtent l="0" t="0" r="0" b="9525"/>
            <wp:docPr id="21" name="Рисунок 21" descr="http://www.do.mgsu.ru/COURSES/course1214/files/HtmlStuff/9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do.mgsu.ru/COURSES/course1214/files/HtmlStuff/9clip_image00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D7874" w:rsidRPr="00943314" w:rsidRDefault="005D7874" w:rsidP="005D7874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Нормативная глубина промерзания </w:t>
      </w:r>
      <w:proofErr w:type="spellStart"/>
      <w:r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943314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fn</w:t>
      </w:r>
      <w:proofErr w:type="spellEnd"/>
      <w:r w:rsidRPr="00943314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 </w:t>
      </w:r>
      <w:r w:rsidRPr="00943314">
        <w:rPr>
          <w:rFonts w:ascii="Times New Roman" w:eastAsia="Times New Roman" w:hAnsi="Times New Roman" w:cs="Times New Roman"/>
          <w:color w:val="000000"/>
          <w:vertAlign w:val="subscript"/>
        </w:rPr>
        <w:t> </w:t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 среднее (за срок не менее 10 лет) значение максимальных глубин промерзания грунтов на открытой площадке, оголённой зимой от снега, а летом от растительного покрова. Нормативная глубина промерзания назначается по наблюдениям за сезонным промерзанием, по теплотехническим расчётам в зависимости от средней температуры воздуха в зимние месяцы. Нормативная глубина промерзания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57175" cy="257175"/>
            <wp:effectExtent l="0" t="0" r="9525" b="9525"/>
            <wp:docPr id="20" name="Рисунок 20" descr="http://www.do.mgsu.ru/COURSES/course1214/files/HtmlStuff/4clip_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do.mgsu.ru/COURSES/course1214/files/HtmlStuff/4clip_image00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районов, где глубина промерзания не превышает 2,5 м, определяется по формуле</w:t>
      </w:r>
      <w:proofErr w:type="gramStart"/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tbl>
      <w:tblPr>
        <w:tblW w:w="1267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890"/>
        <w:gridCol w:w="9003"/>
        <w:gridCol w:w="1782"/>
      </w:tblGrid>
      <w:tr w:rsidR="005D7874" w:rsidRPr="00943314" w:rsidTr="0073605C">
        <w:trPr>
          <w:tblCellSpacing w:w="0" w:type="dxa"/>
          <w:jc w:val="center"/>
        </w:trPr>
        <w:tc>
          <w:tcPr>
            <w:tcW w:w="1890" w:type="dxa"/>
            <w:vAlign w:val="center"/>
            <w:hideMark/>
          </w:tcPr>
          <w:p w:rsidR="005D7874" w:rsidRPr="00943314" w:rsidRDefault="005D7874" w:rsidP="0073605C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7874" w:rsidRPr="00943314" w:rsidRDefault="005D7874" w:rsidP="0073605C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000125" cy="295275"/>
                  <wp:effectExtent l="0" t="0" r="9525" b="9525"/>
                  <wp:docPr id="19" name="Рисунок 19" descr="http://www.do.mgsu.ru/COURSES/course1214/files/HtmlStuff/6clip_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do.mgsu.ru/COURSES/course1214/files/HtmlStuff/6clip_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0,23√50,7 = 0,23 * 7,12 = 1,638.</w:t>
            </w:r>
          </w:p>
        </w:tc>
        <w:tc>
          <w:tcPr>
            <w:tcW w:w="1782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5D7874" w:rsidRPr="00943314" w:rsidRDefault="005D7874" w:rsidP="0073605C">
            <w:pPr>
              <w:spacing w:after="0" w:line="4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(3.2)</w:t>
            </w:r>
          </w:p>
        </w:tc>
      </w:tr>
    </w:tbl>
    <w:p w:rsidR="005D7874" w:rsidRPr="00943314" w:rsidRDefault="005D7874" w:rsidP="005D7874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Где </w:t>
      </w:r>
      <w:proofErr w:type="spellStart"/>
      <w:r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proofErr w:type="gramStart"/>
      <w:r w:rsidRPr="00943314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t</w:t>
      </w:r>
      <w:proofErr w:type="spellEnd"/>
      <w:proofErr w:type="gramEnd"/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  –  безразмерный коэффициент, численно равный сумме абсолютных значений среднемесячных отрицательных температур за зиму в данном климатическом районе. В </w:t>
      </w:r>
      <w:r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Приложении 1, табл. 19 </w:t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даны приближенные значения </w:t>
      </w:r>
      <w:proofErr w:type="spellStart"/>
      <w:r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proofErr w:type="gramStart"/>
      <w:r w:rsidRPr="00943314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-50,7 для города Великий Устюг. </w:t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точно они могут быть определены  по таблицам СП 131.13330.2012 Строительная климатология [18] (Табл. 5.1.) и  по схематическим картам глубин промерзания грунтов.</w:t>
      </w:r>
    </w:p>
    <w:p w:rsidR="005D7874" w:rsidRPr="00943314" w:rsidRDefault="005D7874" w:rsidP="005D7874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943314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величина, </w:t>
      </w:r>
      <w:proofErr w:type="gramStart"/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принимаемая для суглинков и глин – 0,23; супесей, песков мелких и пылеватых – 0,28; песков гравелистых, крупных и средней крупности – 0,30; крупнообломочных грунтов – 0,34.</w:t>
      </w:r>
    </w:p>
    <w:p w:rsidR="005D7874" w:rsidRPr="00943314" w:rsidRDefault="005D7874" w:rsidP="005D7874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неоднородном сложении грунтов в пределах глубины промерзания </w:t>
      </w:r>
      <w:r w:rsidRPr="009433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943314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943314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определяется как средневзвешенная величина.</w:t>
      </w:r>
    </w:p>
    <w:p w:rsidR="005D7874" w:rsidRPr="00315FF5" w:rsidRDefault="005D7874" w:rsidP="00E47028">
      <w:pPr>
        <w:pStyle w:val="a5"/>
        <w:spacing w:after="0" w:line="42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C80409" w:rsidRDefault="00C80409"/>
    <w:sectPr w:rsidR="00C8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663F"/>
    <w:multiLevelType w:val="hybridMultilevel"/>
    <w:tmpl w:val="87F2C84C"/>
    <w:lvl w:ilvl="0" w:tplc="C7886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75B0"/>
    <w:rsid w:val="00315FF5"/>
    <w:rsid w:val="004D75B0"/>
    <w:rsid w:val="005D7874"/>
    <w:rsid w:val="008F196B"/>
    <w:rsid w:val="00C80409"/>
    <w:rsid w:val="00E4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5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7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hyperlink" Target="http://www.do.mgsu.ru/COURSES/course1214/index.htm" TargetMode="Externa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777</Words>
  <Characters>4430</Characters>
  <Application>Microsoft Office Word</Application>
  <DocSecurity>0</DocSecurity>
  <Lines>36</Lines>
  <Paragraphs>10</Paragraphs>
  <ScaleCrop>false</ScaleCrop>
  <Company>Grizli777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2018-02-17T19:42:00Z</dcterms:created>
  <dcterms:modified xsi:type="dcterms:W3CDTF">2018-02-17T20:08:00Z</dcterms:modified>
</cp:coreProperties>
</file>